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FD5" w:rsidRDefault="006B6FD5" w:rsidP="00B96CEF">
      <w:pPr>
        <w:pBdr>
          <w:bottom w:val="single" w:sz="6" w:space="1" w:color="auto"/>
        </w:pBdr>
        <w:rPr>
          <w:rFonts w:ascii="Cambria" w:hAnsi="Cambria"/>
          <w:b/>
          <w:smallCaps/>
          <w:szCs w:val="22"/>
        </w:rPr>
      </w:pPr>
    </w:p>
    <w:p w:rsidR="009560D6" w:rsidRPr="0006540E" w:rsidRDefault="009560D6" w:rsidP="00AF676C">
      <w:pPr>
        <w:rPr>
          <w:rFonts w:ascii="Cambria" w:hAnsi="Cambria"/>
          <w:szCs w:val="22"/>
        </w:rPr>
      </w:pPr>
    </w:p>
    <w:p w:rsidR="009110AB" w:rsidRPr="009110AB" w:rsidRDefault="009110AB" w:rsidP="009110AB">
      <w:pPr>
        <w:ind w:firstLine="720"/>
        <w:rPr>
          <w:rFonts w:ascii="Cambria" w:hAnsi="Cambria"/>
          <w:b/>
          <w:szCs w:val="22"/>
        </w:rPr>
      </w:pPr>
      <w:r w:rsidRPr="009110AB">
        <w:rPr>
          <w:rFonts w:ascii="Cambria" w:hAnsi="Cambria"/>
          <w:b/>
          <w:szCs w:val="22"/>
        </w:rPr>
        <w:t>Background</w:t>
      </w:r>
    </w:p>
    <w:p w:rsidR="009110AB" w:rsidRPr="0006540E" w:rsidRDefault="009110AB" w:rsidP="00B96CEF">
      <w:pPr>
        <w:rPr>
          <w:rFonts w:ascii="Cambria" w:hAnsi="Cambria"/>
          <w:szCs w:val="22"/>
        </w:rPr>
      </w:pPr>
    </w:p>
    <w:p w:rsidR="00A77EC7" w:rsidRDefault="00B27F27" w:rsidP="00B96CEF">
      <w:pPr>
        <w:rPr>
          <w:rFonts w:ascii="Cambria" w:hAnsi="Cambria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64.85pt;margin-top:6.7pt;width:188.65pt;height:105.2pt;z-index:-251653120;mso-position-horizontal-relative:text;mso-position-vertical-relative:text" wrapcoords="-86 0 -86 21446 21600 21446 21600 0 -86 0">
            <v:imagedata r:id="rId7" o:title="geomap2"/>
            <w10:wrap type="tight"/>
          </v:shape>
        </w:pict>
      </w:r>
      <w:r w:rsidR="00A77EC7">
        <w:rPr>
          <w:rFonts w:ascii="Cambria" w:hAnsi="Cambria"/>
          <w:szCs w:val="22"/>
        </w:rPr>
        <w:t>Geothermal energy, or h</w:t>
      </w:r>
      <w:r w:rsidR="00A77EC7" w:rsidRPr="00A77EC7">
        <w:rPr>
          <w:rFonts w:ascii="Cambria" w:hAnsi="Cambria"/>
          <w:szCs w:val="22"/>
        </w:rPr>
        <w:t>eat from the earth</w:t>
      </w:r>
      <w:r w:rsidR="00A77EC7">
        <w:rPr>
          <w:rFonts w:ascii="Cambria" w:hAnsi="Cambria"/>
          <w:szCs w:val="22"/>
        </w:rPr>
        <w:t>’s core,</w:t>
      </w:r>
      <w:r w:rsidR="00A77EC7" w:rsidRPr="00A77EC7">
        <w:rPr>
          <w:rFonts w:ascii="Cambria" w:hAnsi="Cambria"/>
          <w:szCs w:val="22"/>
        </w:rPr>
        <w:t xml:space="preserve"> can be used as an energy source in many ways, from large and complex power stations to small and relatively simple pumping systems.</w:t>
      </w:r>
      <w:r w:rsidR="00A77EC7">
        <w:rPr>
          <w:rFonts w:ascii="Cambria" w:hAnsi="Cambria"/>
          <w:szCs w:val="22"/>
        </w:rPr>
        <w:t xml:space="preserve"> </w:t>
      </w:r>
      <w:r w:rsidR="00A77EC7" w:rsidRPr="00A77EC7">
        <w:rPr>
          <w:rFonts w:ascii="Cambria" w:hAnsi="Cambria"/>
          <w:szCs w:val="22"/>
        </w:rPr>
        <w:t xml:space="preserve"> </w:t>
      </w:r>
      <w:r w:rsidR="00A77EC7">
        <w:rPr>
          <w:rFonts w:ascii="Cambria" w:hAnsi="Cambria"/>
          <w:szCs w:val="22"/>
        </w:rPr>
        <w:t>M</w:t>
      </w:r>
      <w:r w:rsidR="00A77EC7" w:rsidRPr="00A77EC7">
        <w:rPr>
          <w:rFonts w:ascii="Cambria" w:hAnsi="Cambria"/>
          <w:szCs w:val="22"/>
        </w:rPr>
        <w:t>ore than 8,900 megawatts</w:t>
      </w:r>
      <w:r w:rsidR="00A77EC7">
        <w:rPr>
          <w:rFonts w:ascii="Cambria" w:hAnsi="Cambria"/>
          <w:szCs w:val="22"/>
        </w:rPr>
        <w:t xml:space="preserve"> </w:t>
      </w:r>
      <w:r w:rsidR="00A77EC7" w:rsidRPr="00A77EC7">
        <w:rPr>
          <w:rFonts w:ascii="Cambria" w:hAnsi="Cambria"/>
          <w:szCs w:val="22"/>
        </w:rPr>
        <w:t>of</w:t>
      </w:r>
      <w:r w:rsidR="00A77EC7">
        <w:rPr>
          <w:rFonts w:ascii="Cambria" w:hAnsi="Cambria"/>
          <w:szCs w:val="22"/>
        </w:rPr>
        <w:t xml:space="preserve"> </w:t>
      </w:r>
      <w:r w:rsidR="00A77EC7" w:rsidRPr="00A77EC7">
        <w:rPr>
          <w:rFonts w:ascii="Cambria" w:hAnsi="Cambria"/>
          <w:szCs w:val="22"/>
        </w:rPr>
        <w:t xml:space="preserve">utility-scale geothermal capacity in 24 countries now produce enough electricity to meet the annual needs of nearly 12 million typical U.S. households. </w:t>
      </w:r>
    </w:p>
    <w:p w:rsidR="00A77EC7" w:rsidRDefault="00B27F27" w:rsidP="00B96CEF">
      <w:pPr>
        <w:rPr>
          <w:rFonts w:ascii="Cambria" w:hAnsi="Cambria"/>
          <w:szCs w:val="22"/>
        </w:rPr>
      </w:pPr>
      <w:r w:rsidRPr="00A77EC7">
        <w:rPr>
          <w:rFonts w:ascii="Cambria" w:hAnsi="Cambria"/>
          <w:noProof/>
          <w:szCs w:val="2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45pt;margin-top:.95pt;width:187.95pt;height:29.9pt;z-index:-251654144;mso-height-percent:200;mso-height-percent:200;mso-width-relative:margin;mso-height-relative:margin" wrapcoords="-86 -540 -86 21060 21686 21060 21686 -540 -86 -540" strokecolor="white">
            <v:textbox style="mso-next-textbox:#_x0000_s1028;mso-fit-shape-to-text:t">
              <w:txbxContent>
                <w:p w:rsidR="00B27F27" w:rsidRPr="00A77EC7" w:rsidRDefault="00B27F27">
                  <w:pPr>
                    <w:rPr>
                      <w:rFonts w:ascii="Calibri" w:hAnsi="Calibri"/>
                      <w:sz w:val="18"/>
                      <w:szCs w:val="18"/>
                    </w:rPr>
                  </w:pPr>
                  <w:proofErr w:type="gramStart"/>
                  <w:r w:rsidRPr="00A77EC7">
                    <w:rPr>
                      <w:rFonts w:ascii="Calibri" w:hAnsi="Calibri"/>
                      <w:sz w:val="18"/>
                      <w:szCs w:val="18"/>
                    </w:rPr>
                    <w:t>Geothermal resources in the United States.</w:t>
                  </w:r>
                  <w:proofErr w:type="gramEnd"/>
                  <w:r w:rsidRPr="00A77EC7">
                    <w:rPr>
                      <w:rFonts w:ascii="Calibri" w:hAnsi="Calibri"/>
                      <w:sz w:val="18"/>
                      <w:szCs w:val="18"/>
                    </w:rPr>
                    <w:t xml:space="preserve">  </w:t>
                  </w:r>
                </w:p>
                <w:p w:rsidR="00B27F27" w:rsidRPr="00A77EC7" w:rsidRDefault="00B27F27" w:rsidP="00A77EC7">
                  <w:pPr>
                    <w:jc w:val="right"/>
                    <w:rPr>
                      <w:i/>
                    </w:rPr>
                  </w:pPr>
                  <w:r w:rsidRPr="00A77EC7">
                    <w:rPr>
                      <w:rFonts w:ascii="Calibri" w:hAnsi="Calibri"/>
                      <w:i/>
                      <w:sz w:val="18"/>
                      <w:szCs w:val="18"/>
                    </w:rPr>
                    <w:t>Source:  NREL</w:t>
                  </w:r>
                </w:p>
              </w:txbxContent>
            </v:textbox>
            <w10:wrap type="tight"/>
          </v:shape>
        </w:pict>
      </w:r>
    </w:p>
    <w:p w:rsidR="00CB5D85" w:rsidRDefault="00A77EC7" w:rsidP="00B96CEF">
      <w:pPr>
        <w:rPr>
          <w:rFonts w:ascii="Cambria" w:hAnsi="Cambria"/>
          <w:szCs w:val="22"/>
        </w:rPr>
      </w:pPr>
      <w:r w:rsidRPr="00A77EC7">
        <w:rPr>
          <w:rFonts w:ascii="Cambria" w:hAnsi="Cambria"/>
          <w:szCs w:val="22"/>
        </w:rPr>
        <w:t>The United States has more geothermal capacity than any other country.</w:t>
      </w:r>
      <w:r w:rsidR="00CB5D85">
        <w:rPr>
          <w:rFonts w:ascii="Cambria" w:hAnsi="Cambria"/>
          <w:szCs w:val="22"/>
        </w:rPr>
        <w:t xml:space="preserve">  In fact, if we could recover the resource base, our d</w:t>
      </w:r>
      <w:r w:rsidR="00CB5D85" w:rsidRPr="00CB5D85">
        <w:rPr>
          <w:rFonts w:ascii="Cambria" w:hAnsi="Cambria"/>
          <w:szCs w:val="22"/>
        </w:rPr>
        <w:t>omestic resources are equivalent to a 30,000-year energy supply at our current rate</w:t>
      </w:r>
      <w:r w:rsidR="00CB5D85">
        <w:rPr>
          <w:rFonts w:ascii="Cambria" w:hAnsi="Cambria"/>
          <w:szCs w:val="22"/>
        </w:rPr>
        <w:t xml:space="preserve"> of consumption.  G</w:t>
      </w:r>
      <w:r w:rsidR="00CB5D85" w:rsidRPr="00CB5D85">
        <w:rPr>
          <w:rFonts w:ascii="Cambria" w:hAnsi="Cambria"/>
          <w:szCs w:val="22"/>
        </w:rPr>
        <w:t>eothermal energy is used in all 50 U.S. states today</w:t>
      </w:r>
      <w:r w:rsidR="00CB5D85">
        <w:rPr>
          <w:rFonts w:ascii="Cambria" w:hAnsi="Cambria"/>
          <w:szCs w:val="22"/>
        </w:rPr>
        <w:t>, and in</w:t>
      </w:r>
      <w:r w:rsidRPr="00A77EC7">
        <w:rPr>
          <w:rFonts w:ascii="Cambria" w:hAnsi="Cambria"/>
          <w:szCs w:val="22"/>
        </w:rPr>
        <w:t xml:space="preserve"> California</w:t>
      </w:r>
      <w:r w:rsidR="00CB5D85">
        <w:rPr>
          <w:rFonts w:ascii="Cambria" w:hAnsi="Cambria"/>
          <w:szCs w:val="22"/>
        </w:rPr>
        <w:t xml:space="preserve"> </w:t>
      </w:r>
      <w:r w:rsidRPr="00A77EC7">
        <w:rPr>
          <w:rFonts w:ascii="Cambria" w:hAnsi="Cambria"/>
          <w:szCs w:val="22"/>
        </w:rPr>
        <w:t xml:space="preserve">more than 40 geothermal plants provide nearly </w:t>
      </w:r>
      <w:r w:rsidR="00CB5D85">
        <w:rPr>
          <w:rFonts w:ascii="Cambria" w:hAnsi="Cambria"/>
          <w:szCs w:val="22"/>
        </w:rPr>
        <w:t xml:space="preserve">five </w:t>
      </w:r>
      <w:r w:rsidRPr="00A77EC7">
        <w:rPr>
          <w:rFonts w:ascii="Cambria" w:hAnsi="Cambria"/>
          <w:szCs w:val="22"/>
        </w:rPr>
        <w:t>percent of the state’s electricity.</w:t>
      </w:r>
    </w:p>
    <w:p w:rsidR="00CB5D85" w:rsidRDefault="00CB5D85" w:rsidP="00B96CEF">
      <w:pPr>
        <w:rPr>
          <w:rFonts w:ascii="Cambria" w:hAnsi="Cambria"/>
          <w:szCs w:val="22"/>
        </w:rPr>
      </w:pPr>
    </w:p>
    <w:p w:rsidR="00CB5D85" w:rsidRDefault="00A77EC7" w:rsidP="00B96CEF">
      <w:p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 xml:space="preserve">Geothermal energy </w:t>
      </w:r>
      <w:r w:rsidR="00F5023B">
        <w:rPr>
          <w:rFonts w:ascii="Cambria" w:hAnsi="Cambria"/>
          <w:szCs w:val="22"/>
        </w:rPr>
        <w:t xml:space="preserve">facilities can supply </w:t>
      </w:r>
      <w:r>
        <w:rPr>
          <w:rFonts w:ascii="Cambria" w:hAnsi="Cambria"/>
          <w:szCs w:val="22"/>
        </w:rPr>
        <w:t>environmentally-friendly</w:t>
      </w:r>
      <w:r w:rsidR="00B27F27">
        <w:rPr>
          <w:rFonts w:ascii="Cambria" w:hAnsi="Cambria"/>
          <w:szCs w:val="22"/>
        </w:rPr>
        <w:t xml:space="preserve"> </w:t>
      </w:r>
      <w:proofErr w:type="spellStart"/>
      <w:r w:rsidRPr="00A77EC7">
        <w:rPr>
          <w:rFonts w:ascii="Cambria" w:hAnsi="Cambria"/>
          <w:szCs w:val="22"/>
        </w:rPr>
        <w:t>baseload</w:t>
      </w:r>
      <w:proofErr w:type="spellEnd"/>
      <w:r w:rsidRPr="00A77EC7">
        <w:rPr>
          <w:rFonts w:ascii="Cambria" w:hAnsi="Cambria"/>
          <w:szCs w:val="22"/>
        </w:rPr>
        <w:t xml:space="preserve"> power</w:t>
      </w:r>
      <w:r w:rsidR="00B27F27">
        <w:rPr>
          <w:rFonts w:ascii="Cambria" w:hAnsi="Cambria"/>
          <w:szCs w:val="22"/>
        </w:rPr>
        <w:t xml:space="preserve"> and produce very low emissions.  Binary geothermal systems release essentially no emissions</w:t>
      </w:r>
      <w:r w:rsidRPr="00A77EC7">
        <w:rPr>
          <w:rFonts w:ascii="Cambria" w:hAnsi="Cambria"/>
          <w:szCs w:val="22"/>
        </w:rPr>
        <w:t>.</w:t>
      </w:r>
      <w:r w:rsidR="00B27F27">
        <w:rPr>
          <w:rFonts w:ascii="Cambria" w:hAnsi="Cambria"/>
          <w:szCs w:val="22"/>
        </w:rPr>
        <w:t xml:space="preserve">  Once installed, geothermal power is available 24 hours a day, 365 days a year and is incredibly reliable.  </w:t>
      </w:r>
      <w:r w:rsidR="00B27F27" w:rsidRPr="00B27F27">
        <w:rPr>
          <w:rFonts w:ascii="Cambria" w:hAnsi="Cambria"/>
          <w:szCs w:val="22"/>
        </w:rPr>
        <w:t>Geothermal power plants have average availabilities of 90% or higher, compared to about 75% for coal plants.</w:t>
      </w:r>
    </w:p>
    <w:p w:rsidR="00CB5D85" w:rsidRDefault="00CB5D85" w:rsidP="00B96CEF">
      <w:pPr>
        <w:rPr>
          <w:rFonts w:ascii="Cambria" w:hAnsi="Cambria"/>
          <w:szCs w:val="22"/>
        </w:rPr>
      </w:pPr>
    </w:p>
    <w:p w:rsidR="00F5023B" w:rsidRDefault="00F5023B" w:rsidP="00F5023B">
      <w:pPr>
        <w:ind w:firstLine="720"/>
        <w:rPr>
          <w:rFonts w:ascii="Cambria" w:hAnsi="Cambria"/>
          <w:szCs w:val="22"/>
        </w:rPr>
      </w:pPr>
      <w:r>
        <w:rPr>
          <w:rFonts w:ascii="Cambria" w:hAnsi="Cambria"/>
          <w:b/>
          <w:szCs w:val="22"/>
        </w:rPr>
        <w:t>What the Legislation Does</w:t>
      </w:r>
    </w:p>
    <w:p w:rsidR="00F5023B" w:rsidRDefault="00F5023B" w:rsidP="00B96CEF">
      <w:pPr>
        <w:rPr>
          <w:rFonts w:ascii="Cambria" w:hAnsi="Cambria"/>
          <w:szCs w:val="22"/>
        </w:rPr>
      </w:pPr>
    </w:p>
    <w:p w:rsidR="00B27F27" w:rsidRDefault="00B27F27" w:rsidP="00B41ABF">
      <w:p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While t</w:t>
      </w:r>
      <w:r w:rsidRPr="00A77EC7">
        <w:rPr>
          <w:rFonts w:ascii="Cambria" w:hAnsi="Cambria"/>
          <w:szCs w:val="22"/>
        </w:rPr>
        <w:t>he costs for electricity from geothermal facilities are declining</w:t>
      </w:r>
      <w:r>
        <w:rPr>
          <w:rFonts w:ascii="Cambria" w:hAnsi="Cambria"/>
          <w:szCs w:val="22"/>
        </w:rPr>
        <w:t xml:space="preserve">, these installations are complex, long-term projects.  There are significant costs involved with the exploration and development of these installations and significant risks of “dry holes,” </w:t>
      </w:r>
      <w:r w:rsidRPr="00CB5D85">
        <w:rPr>
          <w:rFonts w:ascii="Cambria" w:hAnsi="Cambria"/>
          <w:i/>
          <w:szCs w:val="22"/>
        </w:rPr>
        <w:t>i.e.</w:t>
      </w:r>
      <w:r>
        <w:rPr>
          <w:rFonts w:ascii="Cambria" w:hAnsi="Cambria"/>
          <w:szCs w:val="22"/>
        </w:rPr>
        <w:t>, that the forecast resources will not be available.  To overcome those challenges, t</w:t>
      </w:r>
      <w:r w:rsidR="00CB5D85">
        <w:rPr>
          <w:rFonts w:ascii="Cambria" w:hAnsi="Cambria"/>
          <w:szCs w:val="22"/>
        </w:rPr>
        <w:t>he Recovery Act</w:t>
      </w:r>
      <w:r>
        <w:rPr>
          <w:rFonts w:ascii="Cambria" w:hAnsi="Cambria"/>
          <w:szCs w:val="22"/>
        </w:rPr>
        <w:t xml:space="preserve"> provided the </w:t>
      </w:r>
      <w:r w:rsidR="00CB5D85">
        <w:rPr>
          <w:rFonts w:ascii="Cambria" w:hAnsi="Cambria"/>
          <w:szCs w:val="22"/>
        </w:rPr>
        <w:t>industry with two year</w:t>
      </w:r>
      <w:r>
        <w:rPr>
          <w:rFonts w:ascii="Cambria" w:hAnsi="Cambria"/>
          <w:szCs w:val="22"/>
        </w:rPr>
        <w:t xml:space="preserve">s in which </w:t>
      </w:r>
      <w:r w:rsidR="00CB5D85">
        <w:rPr>
          <w:rFonts w:ascii="Cambria" w:hAnsi="Cambria"/>
          <w:szCs w:val="22"/>
        </w:rPr>
        <w:t>to access a 30% investment tax credit.</w:t>
      </w:r>
      <w:r>
        <w:rPr>
          <w:rFonts w:ascii="Cambria" w:hAnsi="Cambria"/>
          <w:szCs w:val="22"/>
        </w:rPr>
        <w:t xml:space="preserve">  As of March 1, 2010, this incentive helped build five geothermal energy projects with a capacity of 125.4 megawatts of electricity.  </w:t>
      </w:r>
    </w:p>
    <w:p w:rsidR="00B27F27" w:rsidRDefault="00B27F27" w:rsidP="00B41ABF">
      <w:pPr>
        <w:rPr>
          <w:rFonts w:ascii="Cambria" w:hAnsi="Cambria"/>
          <w:szCs w:val="22"/>
        </w:rPr>
      </w:pPr>
    </w:p>
    <w:p w:rsidR="009110AB" w:rsidRDefault="00F5023B" w:rsidP="00B41ABF">
      <w:pPr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To</w:t>
      </w:r>
      <w:r w:rsidR="00B27F27">
        <w:rPr>
          <w:rFonts w:ascii="Cambria" w:hAnsi="Cambria"/>
          <w:szCs w:val="22"/>
        </w:rPr>
        <w:t xml:space="preserve"> build on the success of the Recovery Act and to help </w:t>
      </w:r>
      <w:r>
        <w:rPr>
          <w:rFonts w:ascii="Cambria" w:hAnsi="Cambria"/>
          <w:szCs w:val="22"/>
        </w:rPr>
        <w:t xml:space="preserve">ameliorate the risks </w:t>
      </w:r>
      <w:r w:rsidR="00B27F27">
        <w:rPr>
          <w:rFonts w:ascii="Cambria" w:hAnsi="Cambria"/>
          <w:szCs w:val="22"/>
        </w:rPr>
        <w:t xml:space="preserve">associated with geothermal energy investment, </w:t>
      </w:r>
      <w:r>
        <w:rPr>
          <w:rFonts w:ascii="Cambria" w:hAnsi="Cambria"/>
          <w:szCs w:val="22"/>
        </w:rPr>
        <w:t>HR ___, the Geothermal Energy Act, provides a 30% investment tax credit</w:t>
      </w:r>
      <w:r w:rsidR="00B27F27">
        <w:rPr>
          <w:rFonts w:ascii="Cambria" w:hAnsi="Cambria"/>
          <w:szCs w:val="22"/>
        </w:rPr>
        <w:t xml:space="preserve"> for geothermal energy</w:t>
      </w:r>
      <w:r w:rsidR="00D171F4">
        <w:rPr>
          <w:rFonts w:ascii="Cambria" w:hAnsi="Cambria"/>
          <w:szCs w:val="22"/>
        </w:rPr>
        <w:t xml:space="preserve"> through December 31, 2016</w:t>
      </w:r>
      <w:r>
        <w:rPr>
          <w:rFonts w:ascii="Cambria" w:hAnsi="Cambria"/>
          <w:szCs w:val="22"/>
        </w:rPr>
        <w:t>.</w:t>
      </w:r>
      <w:r w:rsidR="00B27F27">
        <w:rPr>
          <w:rFonts w:ascii="Cambria" w:hAnsi="Cambria"/>
          <w:szCs w:val="22"/>
        </w:rPr>
        <w:t xml:space="preserve">  This incentive will help </w:t>
      </w:r>
      <w:r>
        <w:rPr>
          <w:rFonts w:ascii="Cambria" w:hAnsi="Cambria"/>
          <w:szCs w:val="22"/>
        </w:rPr>
        <w:t>unlock these geothermal energy resources by providing the industry with an expanded lo</w:t>
      </w:r>
      <w:r w:rsidR="00D171F4">
        <w:rPr>
          <w:rFonts w:ascii="Cambria" w:hAnsi="Cambria"/>
          <w:szCs w:val="22"/>
        </w:rPr>
        <w:t>ng-term investment tax credit.</w:t>
      </w:r>
    </w:p>
    <w:sectPr w:rsidR="009110AB" w:rsidSect="00B27F27">
      <w:headerReference w:type="default" r:id="rId8"/>
      <w:footerReference w:type="default" r:id="rId9"/>
      <w:pgSz w:w="12240" w:h="15840"/>
      <w:pgMar w:top="2160" w:right="1440" w:bottom="1440" w:left="172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F27" w:rsidRDefault="00B27F27">
      <w:r>
        <w:separator/>
      </w:r>
    </w:p>
  </w:endnote>
  <w:endnote w:type="continuationSeparator" w:id="0">
    <w:p w:rsidR="00B27F27" w:rsidRDefault="00B27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panose1 w:val="020B0603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F27" w:rsidRDefault="00D171F4" w:rsidP="00D171F4">
    <w:pPr>
      <w:pStyle w:val="Footer"/>
      <w:jc w:val="center"/>
    </w:pPr>
    <w:r w:rsidRPr="00360E26">
      <w:rPr>
        <w:rFonts w:ascii="Garamond" w:hAnsi="Garamond"/>
        <w:i/>
        <w:sz w:val="20"/>
      </w:rPr>
      <w:t xml:space="preserve">For more information on Congressman Blumenauer’s </w:t>
    </w:r>
    <w:r>
      <w:rPr>
        <w:rFonts w:ascii="Garamond" w:hAnsi="Garamond"/>
        <w:i/>
        <w:sz w:val="20"/>
      </w:rPr>
      <w:t>energy</w:t>
    </w:r>
    <w:r w:rsidRPr="00360E26">
      <w:rPr>
        <w:rFonts w:ascii="Garamond" w:hAnsi="Garamond"/>
        <w:i/>
        <w:sz w:val="20"/>
      </w:rPr>
      <w:t xml:space="preserve"> agenda, contact </w:t>
    </w:r>
    <w:r>
      <w:rPr>
        <w:rFonts w:ascii="Garamond" w:hAnsi="Garamond"/>
        <w:i/>
        <w:sz w:val="20"/>
      </w:rPr>
      <w:t>Janine Benner; for more information about Congressman Blumenauer’s tax agenda, contact David Skillman.  Both are available at (202) 225-4811</w:t>
    </w:r>
    <w:r w:rsidRPr="00360E26">
      <w:rPr>
        <w:rFonts w:ascii="Garamond" w:hAnsi="Garamond"/>
        <w:i/>
        <w:sz w:val="20"/>
      </w:rPr>
      <w:t xml:space="preserve">, or online at </w:t>
    </w:r>
    <w:hyperlink r:id="rId1" w:history="1">
      <w:r w:rsidRPr="009447B2">
        <w:rPr>
          <w:rStyle w:val="Hyperlink"/>
          <w:rFonts w:ascii="Garamond" w:hAnsi="Garamond"/>
          <w:i/>
          <w:sz w:val="20"/>
        </w:rPr>
        <w:t>http://blumenauer.house.gov/</w:t>
      </w:r>
    </w:hyperlink>
    <w:r w:rsidRPr="00360E26">
      <w:rPr>
        <w:rFonts w:ascii="Garamond" w:hAnsi="Garamond"/>
        <w:i/>
        <w:sz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F27" w:rsidRDefault="00B27F27">
      <w:r>
        <w:separator/>
      </w:r>
    </w:p>
  </w:footnote>
  <w:footnote w:type="continuationSeparator" w:id="0">
    <w:p w:rsidR="00B27F27" w:rsidRDefault="00B27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F27" w:rsidRDefault="00B27F27">
    <w:pPr>
      <w:pStyle w:val="Header"/>
    </w:pPr>
    <w:r>
      <w:rPr>
        <w:noProof/>
      </w:rPr>
      <w:pict>
        <v:rect id="_x0000_s2049" style="position:absolute;margin-left:-34.4pt;margin-top:-13.2pt;width:1in;height:71.6pt;z-index:251656704;mso-wrap-distance-left:2.88pt;mso-wrap-distance-top:2.88pt;mso-wrap-distance-right:2.88pt;mso-wrap-distance-bottom:2.88pt" o:preferrelative="t" filled="f" stroked="f" insetpen="t" o:cliptowrap="t">
          <v:imagedata r:id="rId1" o:title="congressional_seal_large_white" chromakey="#ecf478"/>
          <v:shadow color="#ccc"/>
          <v:path o:extrusionok="f"/>
          <o:lock v:ext="edit" aspectratio="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80.2pt;margin-top:12.8pt;width:624.35pt;height:27pt;z-index:251657728;mso-wrap-distance-left:2.88pt;mso-wrap-distance-top:2.88pt;mso-wrap-distance-right:2.88pt;mso-wrap-distance-bottom:2.88pt" filled="f" stroked="f" insetpen="t" o:cliptowrap="t">
          <v:shadow color="#ccc"/>
          <v:textbox style="mso-next-textbox:#_x0000_s2050;mso-column-margin:5.76pt" inset="2.88pt,2.88pt,2.88pt,2.88pt">
            <w:txbxContent>
              <w:p w:rsidR="00B27F27" w:rsidRPr="00557B56" w:rsidRDefault="00B27F27" w:rsidP="00557B56">
                <w:pPr>
                  <w:widowControl w:val="0"/>
                  <w:jc w:val="center"/>
                  <w:rPr>
                    <w:rFonts w:ascii="Garamond" w:hAnsi="Garamond"/>
                    <w:smallCaps/>
                    <w:sz w:val="40"/>
                    <w:szCs w:val="44"/>
                  </w:rPr>
                </w:pPr>
                <w:r w:rsidRPr="00A77EC7">
                  <w:rPr>
                    <w:rFonts w:ascii="Cambria" w:hAnsi="Cambria"/>
                    <w:b/>
                    <w:sz w:val="40"/>
                    <w:szCs w:val="44"/>
                  </w:rPr>
                  <w:t>HR _____, the Geothermal Energy Act</w:t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margin-left:-64.65pt;margin-top:56.25pt;width:596.55pt;height:31.5pt;z-index:251658752" stroked="f">
          <v:textbox>
            <w:txbxContent>
              <w:p w:rsidR="00B27F27" w:rsidRDefault="00B27F27" w:rsidP="00AB1882">
                <w:pPr>
                  <w:jc w:val="center"/>
                  <w:rPr>
                    <w:rFonts w:ascii="Garamond" w:hAnsi="Garamond"/>
                    <w:sz w:val="30"/>
                    <w:szCs w:val="30"/>
                  </w:rPr>
                </w:pPr>
                <w:r>
                  <w:rPr>
                    <w:rFonts w:ascii="Garamond" w:hAnsi="Garamond"/>
                    <w:sz w:val="30"/>
                    <w:szCs w:val="30"/>
                  </w:rPr>
                  <w:t xml:space="preserve">Congressman Earl Blumenauer </w:t>
                </w:r>
                <w:r w:rsidRPr="00E1068F">
                  <w:rPr>
                    <w:rFonts w:ascii="Garamond" w:hAnsi="Garamond"/>
                    <w:sz w:val="18"/>
                    <w:szCs w:val="18"/>
                  </w:rPr>
                  <w:t>■</w:t>
                </w:r>
                <w:r>
                  <w:rPr>
                    <w:rFonts w:ascii="Garamond" w:hAnsi="Garamond"/>
                    <w:sz w:val="30"/>
                    <w:szCs w:val="30"/>
                  </w:rPr>
                  <w:t xml:space="preserve"> Third District of Oregon </w:t>
                </w:r>
                <w:r w:rsidRPr="00E1068F">
                  <w:rPr>
                    <w:rFonts w:ascii="Garamond" w:hAnsi="Garamond"/>
                    <w:sz w:val="18"/>
                    <w:szCs w:val="18"/>
                  </w:rPr>
                  <w:t>■</w:t>
                </w:r>
                <w:r>
                  <w:rPr>
                    <w:rFonts w:ascii="Garamond" w:hAnsi="Garamond"/>
                    <w:sz w:val="30"/>
                    <w:szCs w:val="30"/>
                  </w:rPr>
                  <w:t xml:space="preserve"> </w:t>
                </w:r>
                <w:r w:rsidRPr="00AB1882">
                  <w:rPr>
                    <w:rFonts w:ascii="Garamond" w:hAnsi="Garamond"/>
                    <w:sz w:val="30"/>
                    <w:szCs w:val="30"/>
                  </w:rPr>
                  <w:t>www.blumenauer.house.gov</w:t>
                </w:r>
              </w:p>
              <w:p w:rsidR="00B27F27" w:rsidRPr="00177D22" w:rsidRDefault="00B27F27" w:rsidP="00AB1882">
                <w:pPr>
                  <w:rPr>
                    <w:rFonts w:ascii="Garamond" w:hAnsi="Garamond"/>
                    <w:sz w:val="30"/>
                    <w:szCs w:val="30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C381D"/>
    <w:multiLevelType w:val="singleLevel"/>
    <w:tmpl w:val="DB18CBCA"/>
    <w:lvl w:ilvl="0">
      <w:start w:val="8114"/>
      <w:numFmt w:val="bullet"/>
      <w:lvlText w:val="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</w:rPr>
    </w:lvl>
  </w:abstractNum>
  <w:abstractNum w:abstractNumId="1">
    <w:nsid w:val="63DB01C4"/>
    <w:multiLevelType w:val="hybridMultilevel"/>
    <w:tmpl w:val="C73E4818"/>
    <w:lvl w:ilvl="0" w:tplc="C8AAAD06">
      <w:numFmt w:val="bullet"/>
      <w:lvlText w:val="-"/>
      <w:lvlJc w:val="left"/>
      <w:pPr>
        <w:ind w:left="288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79E3"/>
    <w:rsid w:val="00015DFB"/>
    <w:rsid w:val="000558AF"/>
    <w:rsid w:val="0006540E"/>
    <w:rsid w:val="00076537"/>
    <w:rsid w:val="000932BE"/>
    <w:rsid w:val="000A778C"/>
    <w:rsid w:val="000E0EB2"/>
    <w:rsid w:val="000F2FF1"/>
    <w:rsid w:val="001072A1"/>
    <w:rsid w:val="001120BA"/>
    <w:rsid w:val="00130C38"/>
    <w:rsid w:val="001379E3"/>
    <w:rsid w:val="001407B6"/>
    <w:rsid w:val="00190D9C"/>
    <w:rsid w:val="001A33FD"/>
    <w:rsid w:val="001C55C6"/>
    <w:rsid w:val="001C687F"/>
    <w:rsid w:val="001C6A1E"/>
    <w:rsid w:val="001F690B"/>
    <w:rsid w:val="002377BA"/>
    <w:rsid w:val="002B4527"/>
    <w:rsid w:val="00377381"/>
    <w:rsid w:val="003779D7"/>
    <w:rsid w:val="003919AF"/>
    <w:rsid w:val="003C2890"/>
    <w:rsid w:val="0046480E"/>
    <w:rsid w:val="004941D9"/>
    <w:rsid w:val="004A3302"/>
    <w:rsid w:val="004D3F63"/>
    <w:rsid w:val="00506E41"/>
    <w:rsid w:val="00530B4D"/>
    <w:rsid w:val="00533BF2"/>
    <w:rsid w:val="00557B56"/>
    <w:rsid w:val="00572A2F"/>
    <w:rsid w:val="005C1D29"/>
    <w:rsid w:val="00604F59"/>
    <w:rsid w:val="006223D1"/>
    <w:rsid w:val="0062427F"/>
    <w:rsid w:val="00627CAF"/>
    <w:rsid w:val="0066559A"/>
    <w:rsid w:val="00675AD1"/>
    <w:rsid w:val="0068400C"/>
    <w:rsid w:val="00684070"/>
    <w:rsid w:val="006A55B3"/>
    <w:rsid w:val="006A7DD0"/>
    <w:rsid w:val="006B05DF"/>
    <w:rsid w:val="006B1EB0"/>
    <w:rsid w:val="006B6FD5"/>
    <w:rsid w:val="006E554E"/>
    <w:rsid w:val="007052A1"/>
    <w:rsid w:val="00716DCF"/>
    <w:rsid w:val="00763F20"/>
    <w:rsid w:val="00774267"/>
    <w:rsid w:val="00774A2F"/>
    <w:rsid w:val="007923C3"/>
    <w:rsid w:val="007B3835"/>
    <w:rsid w:val="007C48DB"/>
    <w:rsid w:val="007D5E50"/>
    <w:rsid w:val="007F028C"/>
    <w:rsid w:val="00806599"/>
    <w:rsid w:val="00830A03"/>
    <w:rsid w:val="008C3E54"/>
    <w:rsid w:val="009110AB"/>
    <w:rsid w:val="009560D6"/>
    <w:rsid w:val="00990B73"/>
    <w:rsid w:val="00992353"/>
    <w:rsid w:val="009B6A52"/>
    <w:rsid w:val="009C08A6"/>
    <w:rsid w:val="009D30A5"/>
    <w:rsid w:val="00A22F0A"/>
    <w:rsid w:val="00A36539"/>
    <w:rsid w:val="00A77EC7"/>
    <w:rsid w:val="00A8110D"/>
    <w:rsid w:val="00AA2193"/>
    <w:rsid w:val="00AB1882"/>
    <w:rsid w:val="00AD2FA5"/>
    <w:rsid w:val="00AF676C"/>
    <w:rsid w:val="00B27F27"/>
    <w:rsid w:val="00B34A99"/>
    <w:rsid w:val="00B41ABF"/>
    <w:rsid w:val="00B519DC"/>
    <w:rsid w:val="00B96CEF"/>
    <w:rsid w:val="00BA0D4E"/>
    <w:rsid w:val="00BA25EF"/>
    <w:rsid w:val="00C07085"/>
    <w:rsid w:val="00C2199D"/>
    <w:rsid w:val="00C62F3A"/>
    <w:rsid w:val="00C911E6"/>
    <w:rsid w:val="00CA19D7"/>
    <w:rsid w:val="00CA3551"/>
    <w:rsid w:val="00CB5D85"/>
    <w:rsid w:val="00CD6241"/>
    <w:rsid w:val="00D171F4"/>
    <w:rsid w:val="00D241A4"/>
    <w:rsid w:val="00D30E99"/>
    <w:rsid w:val="00D67625"/>
    <w:rsid w:val="00D718A0"/>
    <w:rsid w:val="00DA0357"/>
    <w:rsid w:val="00DA4327"/>
    <w:rsid w:val="00DC3B83"/>
    <w:rsid w:val="00DC6771"/>
    <w:rsid w:val="00DD3A7D"/>
    <w:rsid w:val="00DE576D"/>
    <w:rsid w:val="00E15808"/>
    <w:rsid w:val="00E34E30"/>
    <w:rsid w:val="00E57873"/>
    <w:rsid w:val="00E70440"/>
    <w:rsid w:val="00E73AD5"/>
    <w:rsid w:val="00E96FB5"/>
    <w:rsid w:val="00EA0099"/>
    <w:rsid w:val="00EA4103"/>
    <w:rsid w:val="00EB1242"/>
    <w:rsid w:val="00EE2515"/>
    <w:rsid w:val="00EE3439"/>
    <w:rsid w:val="00EE66DB"/>
    <w:rsid w:val="00F14262"/>
    <w:rsid w:val="00F17E8B"/>
    <w:rsid w:val="00F3469D"/>
    <w:rsid w:val="00F5023B"/>
    <w:rsid w:val="00F85200"/>
    <w:rsid w:val="00F85664"/>
    <w:rsid w:val="00FB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3F6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F676C"/>
    <w:pPr>
      <w:keepNext/>
      <w:spacing w:before="60" w:after="60"/>
      <w:ind w:left="72"/>
      <w:jc w:val="center"/>
      <w:outlineLvl w:val="0"/>
    </w:pPr>
    <w:rPr>
      <w:rFonts w:ascii="Univers" w:hAnsi="Univers"/>
      <w:b/>
      <w:kern w:val="3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779D7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B188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B1882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AB1882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7052A1"/>
    <w:rPr>
      <w:sz w:val="16"/>
      <w:szCs w:val="16"/>
    </w:rPr>
  </w:style>
  <w:style w:type="paragraph" w:styleId="CommentText">
    <w:name w:val="annotation text"/>
    <w:basedOn w:val="Normal"/>
    <w:semiHidden/>
    <w:rsid w:val="007052A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052A1"/>
    <w:rPr>
      <w:b/>
      <w:bCs/>
    </w:rPr>
  </w:style>
  <w:style w:type="character" w:customStyle="1" w:styleId="Heading1Char">
    <w:name w:val="Heading 1 Char"/>
    <w:basedOn w:val="DefaultParagraphFont"/>
    <w:link w:val="Heading1"/>
    <w:rsid w:val="00AF676C"/>
    <w:rPr>
      <w:rFonts w:ascii="Univers" w:hAnsi="Univers"/>
      <w:b/>
      <w:kern w:val="32"/>
      <w:sz w:val="32"/>
    </w:rPr>
  </w:style>
  <w:style w:type="paragraph" w:styleId="ListParagraph">
    <w:name w:val="List Paragraph"/>
    <w:basedOn w:val="Normal"/>
    <w:uiPriority w:val="34"/>
    <w:qFormat/>
    <w:rsid w:val="00B41ABF"/>
    <w:pPr>
      <w:spacing w:after="200" w:line="276" w:lineRule="auto"/>
      <w:ind w:left="720"/>
      <w:contextualSpacing/>
    </w:pPr>
    <w:rPr>
      <w:rFonts w:eastAsia="Calibri"/>
      <w:szCs w:val="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3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blumenauer.house.gov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341</Words>
  <Characters>1822</Characters>
  <Application>Microsoft Office Word</Application>
  <DocSecurity>0</DocSecurity>
  <Lines>67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Infrastructure Financing Options</vt:lpstr>
    </vt:vector>
  </TitlesOfParts>
  <Company>U.S. House of Representatives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Infrastructure Financing Options</dc:title>
  <dc:subject/>
  <dc:creator>David Skillman</dc:creator>
  <cp:keywords/>
  <dc:description/>
  <cp:lastModifiedBy>David Skillman</cp:lastModifiedBy>
  <cp:revision>2</cp:revision>
  <cp:lastPrinted>2010-06-23T00:59:00Z</cp:lastPrinted>
  <dcterms:created xsi:type="dcterms:W3CDTF">2010-06-23T00:59:00Z</dcterms:created>
  <dcterms:modified xsi:type="dcterms:W3CDTF">2010-06-23T00:59:00Z</dcterms:modified>
</cp:coreProperties>
</file>